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95C386" w14:textId="77777777" w:rsidR="00356099" w:rsidRPr="00356099" w:rsidRDefault="00356099" w:rsidP="00356099">
      <w:pPr>
        <w:spacing w:before="240" w:after="0" w:line="240" w:lineRule="auto"/>
        <w:jc w:val="both"/>
        <w:rPr>
          <w:b/>
          <w:bCs/>
        </w:rPr>
      </w:pPr>
      <w:r w:rsidRPr="00356099">
        <w:rPr>
          <w:b/>
          <w:bCs/>
        </w:rPr>
        <w:t>Comment on Exposure Draft</w:t>
      </w:r>
    </w:p>
    <w:p w14:paraId="0D7AF254" w14:textId="77777777" w:rsidR="00356099" w:rsidRPr="00356099" w:rsidRDefault="00356099" w:rsidP="00356099">
      <w:pPr>
        <w:spacing w:before="240" w:after="0" w:line="240" w:lineRule="auto"/>
        <w:jc w:val="both"/>
      </w:pPr>
      <w:r w:rsidRPr="00356099">
        <w:rPr>
          <w:b/>
          <w:bCs/>
        </w:rPr>
        <w:t>Risk Mitigation Accounting – Proposed Amendments to IFRS 9 and IFRS 7</w:t>
      </w:r>
    </w:p>
    <w:p w14:paraId="40AF43BA" w14:textId="77777777" w:rsidR="00356099" w:rsidRPr="00356099" w:rsidRDefault="00356099" w:rsidP="00356099">
      <w:pPr>
        <w:spacing w:before="240" w:after="0" w:line="240" w:lineRule="auto"/>
        <w:jc w:val="both"/>
      </w:pPr>
      <w:r w:rsidRPr="00356099">
        <w:t>We welcome the IASB’s initiative to introduce Risk Mitigation Accounting to address the accounting challenges related to dynamic management of interest rate repricing risk. The proposals recognise that many entities, particularly financial institutions, manage repricing risk on a net and ongoing basis, which is not fully reflected under the existing hedge accounting requirements.</w:t>
      </w:r>
    </w:p>
    <w:p w14:paraId="1EC60DCA" w14:textId="77777777" w:rsidR="00356099" w:rsidRPr="00356099" w:rsidRDefault="00356099" w:rsidP="00356099">
      <w:pPr>
        <w:spacing w:before="240" w:after="0" w:line="240" w:lineRule="auto"/>
        <w:jc w:val="both"/>
      </w:pPr>
      <w:r w:rsidRPr="00356099">
        <w:t>Overall, we support the objective of the Exposure Draft and agree that the proposed model better aligns accounting outcomes with actual risk management practices. Making the model voluntary and restricting its application to entities that meet defined eligibility criteria is appropriate and avoids unnecessary complexity for entities for whom the model is not relevant.</w:t>
      </w:r>
    </w:p>
    <w:p w14:paraId="2F0BC258" w14:textId="77777777" w:rsidR="00356099" w:rsidRPr="00356099" w:rsidRDefault="00356099" w:rsidP="00356099">
      <w:pPr>
        <w:spacing w:before="240" w:after="0" w:line="240" w:lineRule="auto"/>
        <w:jc w:val="both"/>
      </w:pPr>
      <w:r w:rsidRPr="00356099">
        <w:t>We agree with the concept of using underlying portfolios and determining net repricing risk exposure based on expected repricing dates. This approach reflects how repricing risk is managed in practice. However, expected repricing dates often rely on behavioural assumptions, particularly for non-maturing deposits and prepayments. Additional practical guidance on acceptable approaches would help improve consistency and comparability across entities.</w:t>
      </w:r>
    </w:p>
    <w:p w14:paraId="712B7A24" w14:textId="77777777" w:rsidR="00356099" w:rsidRPr="00356099" w:rsidRDefault="00356099" w:rsidP="00356099">
      <w:pPr>
        <w:spacing w:before="240" w:after="0" w:line="240" w:lineRule="auto"/>
        <w:jc w:val="both"/>
      </w:pPr>
      <w:r w:rsidRPr="00356099">
        <w:t>We also agree that only external interest rate derivatives used specifically for repricing risk management should qualify for designation. This restriction helps ensure that the model remains focused and avoids inappropriate application.</w:t>
      </w:r>
    </w:p>
    <w:p w14:paraId="2BF99E8E" w14:textId="77777777" w:rsidR="00356099" w:rsidRPr="00356099" w:rsidRDefault="00356099" w:rsidP="00356099">
      <w:pPr>
        <w:spacing w:before="240" w:after="0" w:line="240" w:lineRule="auto"/>
        <w:jc w:val="both"/>
      </w:pPr>
      <w:r w:rsidRPr="00356099">
        <w:t>The requirement to define a clear risk mitigation objective and represent it through benchmark derivatives is conceptually sound. However, the ongoing adjustment of benchmark derivatives for unexpected changes in underlying portfolios may be operationally challenging. Further clarification and practical examples would be helpful to support consistent application.</w:t>
      </w:r>
    </w:p>
    <w:p w14:paraId="22448195" w14:textId="77777777" w:rsidR="00356099" w:rsidRPr="00356099" w:rsidRDefault="00356099" w:rsidP="00356099">
      <w:pPr>
        <w:spacing w:before="240" w:after="0" w:line="240" w:lineRule="auto"/>
        <w:jc w:val="both"/>
      </w:pPr>
      <w:r w:rsidRPr="00356099">
        <w:t>We support the proposed recognition and measurement of the risk mitigation adjustment and agree that recognising amounts in profit or loss in the same periods as repricing effects provides meaningful information to users. The safeguards designed to prevent excessive deferral of gains or losses are appropriate.</w:t>
      </w:r>
    </w:p>
    <w:p w14:paraId="392BFC5C" w14:textId="77777777" w:rsidR="00356099" w:rsidRPr="00356099" w:rsidRDefault="00356099" w:rsidP="00356099">
      <w:pPr>
        <w:spacing w:before="240" w:after="0" w:line="240" w:lineRule="auto"/>
        <w:jc w:val="both"/>
      </w:pPr>
      <w:r w:rsidRPr="00356099">
        <w:t>The proposed approach to discontinuation of risk mitigation accounting when risk management objectives change is reasonable and consistent with the principles of the model.</w:t>
      </w:r>
    </w:p>
    <w:p w14:paraId="677D16FB" w14:textId="77777777" w:rsidR="00356099" w:rsidRPr="00356099" w:rsidRDefault="00356099" w:rsidP="00356099">
      <w:pPr>
        <w:spacing w:before="240" w:after="0" w:line="240" w:lineRule="auto"/>
        <w:jc w:val="both"/>
      </w:pPr>
      <w:r w:rsidRPr="00356099">
        <w:t>We also support the enhanced disclosure requirements, as they should improve transparency and users’ understanding of repricing risk management activities. However, we recommend that disclosures remain proportionate and focused to avoid unnecessary disclosure burden.</w:t>
      </w:r>
    </w:p>
    <w:p w14:paraId="44E798EA" w14:textId="77777777" w:rsidR="00356099" w:rsidRPr="00356099" w:rsidRDefault="00356099" w:rsidP="00356099">
      <w:pPr>
        <w:spacing w:before="240" w:after="0" w:line="240" w:lineRule="auto"/>
        <w:jc w:val="both"/>
      </w:pPr>
      <w:r w:rsidRPr="00356099">
        <w:t>We acknowledge the IASB’s plan to withdraw the remaining macro hedge accounting requirements under IAS 39. Given the significance of this change, sufficient transition time and practical reliefs will be important to ensure smooth implementation.</w:t>
      </w:r>
    </w:p>
    <w:p w14:paraId="03E21AE9" w14:textId="77777777" w:rsidR="00356099" w:rsidRPr="00356099" w:rsidRDefault="00356099" w:rsidP="00356099">
      <w:pPr>
        <w:spacing w:before="240" w:after="0" w:line="240" w:lineRule="auto"/>
        <w:jc w:val="both"/>
      </w:pPr>
      <w:r w:rsidRPr="00356099">
        <w:t>In conclusion, we support the direction of the Exposure Draft and believe that the proposed Risk Mitigation Accounting model will improve the faithful representation of dynamic repricing risk management. We encourage the IASB to focus on clarity, simplicity, and practical application when finalising the amendments.</w:t>
      </w:r>
    </w:p>
    <w:p w14:paraId="754BFE75" w14:textId="77777777" w:rsidR="00356099" w:rsidRDefault="00356099" w:rsidP="00356099">
      <w:pPr>
        <w:spacing w:after="0"/>
        <w:jc w:val="both"/>
      </w:pPr>
    </w:p>
    <w:sectPr w:rsidR="00356099" w:rsidSect="0035609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6099"/>
    <w:rsid w:val="00346A59"/>
    <w:rsid w:val="00356099"/>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95415D"/>
  <w15:chartTrackingRefBased/>
  <w15:docId w15:val="{E8A8E830-4174-4EE1-9969-E8944449F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1"/>
        <w:lang w:val="en-IN" w:eastAsia="en-US" w:bidi="hi-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56099"/>
    <w:pPr>
      <w:keepNext/>
      <w:keepLines/>
      <w:spacing w:before="360" w:after="80"/>
      <w:outlineLvl w:val="0"/>
    </w:pPr>
    <w:rPr>
      <w:rFonts w:asciiTheme="majorHAnsi" w:eastAsiaTheme="majorEastAsia" w:hAnsiTheme="majorHAnsi" w:cstheme="majorBidi"/>
      <w:color w:val="2F5496" w:themeColor="accent1" w:themeShade="BF"/>
      <w:sz w:val="40"/>
      <w:szCs w:val="36"/>
    </w:rPr>
  </w:style>
  <w:style w:type="paragraph" w:styleId="Heading2">
    <w:name w:val="heading 2"/>
    <w:basedOn w:val="Normal"/>
    <w:next w:val="Normal"/>
    <w:link w:val="Heading2Char"/>
    <w:uiPriority w:val="9"/>
    <w:semiHidden/>
    <w:unhideWhenUsed/>
    <w:qFormat/>
    <w:rsid w:val="00356099"/>
    <w:pPr>
      <w:keepNext/>
      <w:keepLines/>
      <w:spacing w:before="160" w:after="80"/>
      <w:outlineLvl w:val="1"/>
    </w:pPr>
    <w:rPr>
      <w:rFonts w:asciiTheme="majorHAnsi" w:eastAsiaTheme="majorEastAsia" w:hAnsiTheme="majorHAnsi" w:cstheme="majorBidi"/>
      <w:color w:val="2F5496" w:themeColor="accent1" w:themeShade="BF"/>
      <w:sz w:val="32"/>
      <w:szCs w:val="29"/>
    </w:rPr>
  </w:style>
  <w:style w:type="paragraph" w:styleId="Heading3">
    <w:name w:val="heading 3"/>
    <w:basedOn w:val="Normal"/>
    <w:next w:val="Normal"/>
    <w:link w:val="Heading3Char"/>
    <w:uiPriority w:val="9"/>
    <w:semiHidden/>
    <w:unhideWhenUsed/>
    <w:qFormat/>
    <w:rsid w:val="00356099"/>
    <w:pPr>
      <w:keepNext/>
      <w:keepLines/>
      <w:spacing w:before="160" w:after="80"/>
      <w:outlineLvl w:val="2"/>
    </w:pPr>
    <w:rPr>
      <w:rFonts w:eastAsiaTheme="majorEastAsia" w:cstheme="majorBidi"/>
      <w:color w:val="2F5496" w:themeColor="accent1" w:themeShade="BF"/>
      <w:sz w:val="28"/>
      <w:szCs w:val="25"/>
    </w:rPr>
  </w:style>
  <w:style w:type="paragraph" w:styleId="Heading4">
    <w:name w:val="heading 4"/>
    <w:basedOn w:val="Normal"/>
    <w:next w:val="Normal"/>
    <w:link w:val="Heading4Char"/>
    <w:uiPriority w:val="9"/>
    <w:semiHidden/>
    <w:unhideWhenUsed/>
    <w:qFormat/>
    <w:rsid w:val="0035609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5609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560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560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560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560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6099"/>
    <w:rPr>
      <w:rFonts w:asciiTheme="majorHAnsi" w:eastAsiaTheme="majorEastAsia" w:hAnsiTheme="majorHAnsi" w:cstheme="majorBidi"/>
      <w:color w:val="2F5496" w:themeColor="accent1" w:themeShade="BF"/>
      <w:sz w:val="40"/>
      <w:szCs w:val="36"/>
    </w:rPr>
  </w:style>
  <w:style w:type="character" w:customStyle="1" w:styleId="Heading2Char">
    <w:name w:val="Heading 2 Char"/>
    <w:basedOn w:val="DefaultParagraphFont"/>
    <w:link w:val="Heading2"/>
    <w:uiPriority w:val="9"/>
    <w:semiHidden/>
    <w:rsid w:val="00356099"/>
    <w:rPr>
      <w:rFonts w:asciiTheme="majorHAnsi" w:eastAsiaTheme="majorEastAsia" w:hAnsiTheme="majorHAnsi" w:cstheme="majorBidi"/>
      <w:color w:val="2F5496" w:themeColor="accent1" w:themeShade="BF"/>
      <w:sz w:val="32"/>
      <w:szCs w:val="29"/>
    </w:rPr>
  </w:style>
  <w:style w:type="character" w:customStyle="1" w:styleId="Heading3Char">
    <w:name w:val="Heading 3 Char"/>
    <w:basedOn w:val="DefaultParagraphFont"/>
    <w:link w:val="Heading3"/>
    <w:uiPriority w:val="9"/>
    <w:semiHidden/>
    <w:rsid w:val="00356099"/>
    <w:rPr>
      <w:rFonts w:eastAsiaTheme="majorEastAsia" w:cstheme="majorBidi"/>
      <w:color w:val="2F5496" w:themeColor="accent1" w:themeShade="BF"/>
      <w:sz w:val="28"/>
      <w:szCs w:val="25"/>
    </w:rPr>
  </w:style>
  <w:style w:type="character" w:customStyle="1" w:styleId="Heading4Char">
    <w:name w:val="Heading 4 Char"/>
    <w:basedOn w:val="DefaultParagraphFont"/>
    <w:link w:val="Heading4"/>
    <w:uiPriority w:val="9"/>
    <w:semiHidden/>
    <w:rsid w:val="0035609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5609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560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560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560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56099"/>
    <w:rPr>
      <w:rFonts w:eastAsiaTheme="majorEastAsia" w:cstheme="majorBidi"/>
      <w:color w:val="272727" w:themeColor="text1" w:themeTint="D8"/>
    </w:rPr>
  </w:style>
  <w:style w:type="paragraph" w:styleId="Title">
    <w:name w:val="Title"/>
    <w:basedOn w:val="Normal"/>
    <w:next w:val="Normal"/>
    <w:link w:val="TitleChar"/>
    <w:uiPriority w:val="10"/>
    <w:qFormat/>
    <w:rsid w:val="00356099"/>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356099"/>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356099"/>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356099"/>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356099"/>
    <w:pPr>
      <w:spacing w:before="160"/>
      <w:jc w:val="center"/>
    </w:pPr>
    <w:rPr>
      <w:i/>
      <w:iCs/>
      <w:color w:val="404040" w:themeColor="text1" w:themeTint="BF"/>
    </w:rPr>
  </w:style>
  <w:style w:type="character" w:customStyle="1" w:styleId="QuoteChar">
    <w:name w:val="Quote Char"/>
    <w:basedOn w:val="DefaultParagraphFont"/>
    <w:link w:val="Quote"/>
    <w:uiPriority w:val="29"/>
    <w:rsid w:val="00356099"/>
    <w:rPr>
      <w:i/>
      <w:iCs/>
      <w:color w:val="404040" w:themeColor="text1" w:themeTint="BF"/>
    </w:rPr>
  </w:style>
  <w:style w:type="paragraph" w:styleId="ListParagraph">
    <w:name w:val="List Paragraph"/>
    <w:basedOn w:val="Normal"/>
    <w:uiPriority w:val="34"/>
    <w:qFormat/>
    <w:rsid w:val="00356099"/>
    <w:pPr>
      <w:ind w:left="720"/>
      <w:contextualSpacing/>
    </w:pPr>
  </w:style>
  <w:style w:type="character" w:styleId="IntenseEmphasis">
    <w:name w:val="Intense Emphasis"/>
    <w:basedOn w:val="DefaultParagraphFont"/>
    <w:uiPriority w:val="21"/>
    <w:qFormat/>
    <w:rsid w:val="00356099"/>
    <w:rPr>
      <w:i/>
      <w:iCs/>
      <w:color w:val="2F5496" w:themeColor="accent1" w:themeShade="BF"/>
    </w:rPr>
  </w:style>
  <w:style w:type="paragraph" w:styleId="IntenseQuote">
    <w:name w:val="Intense Quote"/>
    <w:basedOn w:val="Normal"/>
    <w:next w:val="Normal"/>
    <w:link w:val="IntenseQuoteChar"/>
    <w:uiPriority w:val="30"/>
    <w:qFormat/>
    <w:rsid w:val="0035609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56099"/>
    <w:rPr>
      <w:i/>
      <w:iCs/>
      <w:color w:val="2F5496" w:themeColor="accent1" w:themeShade="BF"/>
    </w:rPr>
  </w:style>
  <w:style w:type="character" w:styleId="IntenseReference">
    <w:name w:val="Intense Reference"/>
    <w:basedOn w:val="DefaultParagraphFont"/>
    <w:uiPriority w:val="32"/>
    <w:qFormat/>
    <w:rsid w:val="0035609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481</Words>
  <Characters>2742</Characters>
  <Application>Microsoft Office Word</Application>
  <DocSecurity>0</DocSecurity>
  <Lines>22</Lines>
  <Paragraphs>6</Paragraphs>
  <ScaleCrop>false</ScaleCrop>
  <Company/>
  <LinksUpToDate>false</LinksUpToDate>
  <CharactersWithSpaces>3217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nitin sharma</dc:creator>
  <cp:keywords/>
  <dc:description/>
  <cp:lastModifiedBy>nitin sharma</cp:lastModifiedBy>
  <cp:revision>1</cp:revision>
  <dcterms:created xsi:type="dcterms:W3CDTF">2025-12-29T07:34:00Z</dcterms:created>
  <dcterms:modified xsi:type="dcterms:W3CDTF">2025-12-29T07:35:00Z</dcterms:modified>
</cp:coreProperties>
</file>